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F5" w:rsidRPr="00153DF5" w:rsidRDefault="00153DF5" w:rsidP="00153DF5">
      <w:pPr>
        <w:shd w:val="clear" w:color="auto" w:fill="FFFFFF"/>
        <w:spacing w:after="0" w:line="324" w:lineRule="atLeast"/>
        <w:textAlignment w:val="baseline"/>
        <w:outlineLvl w:val="1"/>
        <w:rPr>
          <w:rFonts w:ascii="Arial" w:eastAsia="Times New Roman" w:hAnsi="Arial" w:cs="Arial"/>
          <w:b/>
          <w:bCs/>
          <w:color w:val="202020"/>
          <w:sz w:val="25"/>
          <w:szCs w:val="25"/>
          <w:lang w:eastAsia="ru-RU"/>
        </w:rPr>
      </w:pPr>
      <w:r w:rsidRPr="00153DF5">
        <w:rPr>
          <w:rFonts w:ascii="Arial" w:eastAsia="Times New Roman" w:hAnsi="Arial" w:cs="Arial"/>
          <w:b/>
          <w:bCs/>
          <w:color w:val="202020"/>
          <w:sz w:val="25"/>
          <w:szCs w:val="25"/>
          <w:lang w:eastAsia="ru-RU"/>
        </w:rPr>
        <w:t xml:space="preserve">Расшифровка содержания услуг тарифа «Расчет заработной платы».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8"/>
        <w:gridCol w:w="5701"/>
        <w:gridCol w:w="1924"/>
      </w:tblGrid>
      <w:tr w:rsidR="00153DF5" w:rsidRPr="00153DF5" w:rsidTr="00C00966">
        <w:trPr>
          <w:tblHeader/>
        </w:trPr>
        <w:tc>
          <w:tcPr>
            <w:tcW w:w="2018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240" w:type="dxa"/>
            </w:tcMar>
            <w:vAlign w:val="center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 тарифа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240" w:type="dxa"/>
            </w:tcMar>
            <w:vAlign w:val="center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 содержания услуги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Лимит услуги в тарифе</w:t>
            </w:r>
          </w:p>
        </w:tc>
      </w:tr>
      <w:tr w:rsidR="00153DF5" w:rsidRPr="00153DF5" w:rsidTr="00C00966">
        <w:tc>
          <w:tcPr>
            <w:tcW w:w="2018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1С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арплата и управление персоналом 3.0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00966" w:rsidRPr="00153DF5" w:rsidRDefault="00153DF5" w:rsidP="00C00966">
            <w:pPr>
              <w:spacing w:after="24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1С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арплата и управление персоналом 3.0 предоставляется путем удаленного доступа к серверу https://1cbo.1c.ru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Мобильное приложение «Личный кабинет 1С:БО» (бета-версия) </w:t>
            </w:r>
          </w:p>
          <w:p w:rsidR="00C00966" w:rsidRPr="00153DF5" w:rsidRDefault="00153DF5" w:rsidP="00C00966">
            <w:pPr>
              <w:spacing w:after="24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Мобильное приложение «Клиент 1С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ухОбслуживание»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синхронизации мобильного приложения с приложением в сервисе необходимо указать адрес приложения в Интернете, имя и пароль пользователя базы данных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Личный кабинет клиента на сайте </w:t>
            </w:r>
            <w:hyperlink r:id="rId4" w:history="1">
              <w:r w:rsidRPr="00153D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https://1cbo.ru/</w:t>
              </w:r>
            </w:hyperlink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 Доступ к Личному кабинету предоставляется автоматически – в момент создания пользователя клиента в сервисе 1С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Для авторизации в Личном кабинете используются логин и пароль для работы в базе 1С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лицензия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1 пользователя клиента</w:t>
            </w:r>
          </w:p>
        </w:tc>
      </w:tr>
      <w:tr w:rsidR="00153DF5" w:rsidRPr="00153DF5" w:rsidTr="00C00966">
        <w:tc>
          <w:tcPr>
            <w:tcW w:w="2018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1С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иректБанк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иректБанк — отправка документов в банк и получение документов из банка непосредственно из программы (без выгрузки в промежуточные файлы)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153DF5" w:rsidRPr="00153DF5" w:rsidTr="00C00966">
        <w:tc>
          <w:tcPr>
            <w:tcW w:w="2018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1С-Отчетность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лицензии на 1С-Отчетность 12 месяцев</w:t>
            </w:r>
            <w:r w:rsidR="00C0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Одна ЭП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 юр. лица или ИП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ИНН+1КПП</w:t>
            </w:r>
          </w:p>
        </w:tc>
      </w:tr>
      <w:tr w:rsidR="00153DF5" w:rsidRPr="00153DF5" w:rsidTr="00C00966">
        <w:tc>
          <w:tcPr>
            <w:tcW w:w="2018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систематизация информации для расчета заработной платы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по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 контроль ввода начислений, удержаний по заработной плате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по системе оплаты труда клиента, расчет компенсаций, предусмотренных действующим законодательством РФ к датам, установленным, клиентом для выплаты аванса/заработной платы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Межрасчет по срокам, согласованным в Графике взаимодействия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налогов и сборов с ФОТ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документов на выплату заработной платы (опционально):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Платежная ведомость в кассу (ф. Т-53)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Расчетно-платежная ведомость в кассу (ф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-49)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Единое платежное поручение (банковский файл) для выплаты заработной платы всем работникам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Записка-расчет при предоставлении отпуска работнику (ф.Т-60)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Записка-расчет при прекращении (расторжении) трудового договора (ф.Т-61)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платежных поручений на уплату налогов и сборов с ФОТ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 по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расчетных листков в одном электронном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файле или в печатном виде в одном конверте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 по Графику и Регламенту взаимодействия</w:t>
            </w:r>
          </w:p>
        </w:tc>
      </w:tr>
      <w:tr w:rsidR="00153DF5" w:rsidRPr="00153DF5" w:rsidTr="00C00966">
        <w:tc>
          <w:tcPr>
            <w:tcW w:w="2018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сдача отчетности через Интернет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соглашения с Пенсионным фондом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при подключении к услугам 1С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 клиента сдается с использованием сервиса 1С-Отчетность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формы «Сведения о застрахованных лицах» (форма «СЗВ-М»)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обязательных форм отчетности по основному подразделению Заказчика по налогам и взносам с ФОТ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квартал, по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отчета о квотировании рабочих мест (опционально в соответствии с региональным законодательством)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сдача статистической отчетности по электронным каналам связи («Сведения о численности, заработной плате и движении 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(Форма № П-4)» / средняя численность работников клиента не превышает 15 человек)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статистической отчетности по электронным каналам связи («Сведения о численности, заработной плате и движении работников (Форма № П-4)» / средняя численность работников клиента не превышает 15 человек)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сведений о среднесписочной численности работников за предшествующий календарный год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по Графику и Регламенту взаимодействия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формы «Сведения о страховом стаже застрахованных лиц» (форма «СЗВ-СТАЖ»)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сдача сведений о доходах физических лиц и суммах начисленных и удержанных налогов для количества работников, числящихся у Заказчика на конец года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DF5" w:rsidRPr="00153DF5" w:rsidTr="00C00966">
        <w:tc>
          <w:tcPr>
            <w:tcW w:w="2018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консультации по бухгалтерскому и налоговому учету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консультации для уполномоченных лиц </w:t>
            </w:r>
            <w:proofErr w:type="gramStart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proofErr w:type="gramEnd"/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действующих у клиента положений об оплате труда и не требующие анализа норм законодательства в области расчета заработной платы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Длительность 1 консультации не превышает 30 мин</w:t>
            </w:r>
          </w:p>
        </w:tc>
      </w:tr>
      <w:tr w:rsidR="00153DF5" w:rsidRPr="00153DF5" w:rsidTr="00C00966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53DF5" w:rsidRPr="00153DF5" w:rsidRDefault="00153DF5" w:rsidP="0015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и письменные пояснения уполномоченным лицам Заказчика по расчетным листкам в течение 3-х рабочих дней с момента предоставления расчетных листков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153DF5" w:rsidRPr="00153DF5" w:rsidRDefault="00153DF5" w:rsidP="00153DF5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месяц, по Графику и Регламенту взаимодействия</w:t>
            </w:r>
          </w:p>
        </w:tc>
      </w:tr>
    </w:tbl>
    <w:p w:rsidR="00D64D0D" w:rsidRDefault="00D64D0D"/>
    <w:sectPr w:rsidR="00D64D0D" w:rsidSect="00D6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DF5"/>
    <w:rsid w:val="00153DF5"/>
    <w:rsid w:val="00C00966"/>
    <w:rsid w:val="00D64D0D"/>
    <w:rsid w:val="00F1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0D"/>
  </w:style>
  <w:style w:type="paragraph" w:styleId="2">
    <w:name w:val="heading 2"/>
    <w:basedOn w:val="a"/>
    <w:link w:val="20"/>
    <w:uiPriority w:val="9"/>
    <w:qFormat/>
    <w:rsid w:val="00153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3D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3D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92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72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cb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Горбунов</dc:creator>
  <cp:lastModifiedBy>Евгений Горбунов</cp:lastModifiedBy>
  <cp:revision>2</cp:revision>
  <dcterms:created xsi:type="dcterms:W3CDTF">2021-04-20T17:21:00Z</dcterms:created>
  <dcterms:modified xsi:type="dcterms:W3CDTF">2021-05-11T15:50:00Z</dcterms:modified>
</cp:coreProperties>
</file>